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 xml:space="preserve">если редакция состоит менее чем из десяти человек, ее </w:t>
      </w:r>
      <w:r w:rsidR="00A3225E">
        <w:rPr>
          <w:lang w:eastAsia="ru-RU"/>
        </w:rPr>
        <w:lastRenderedPageBreak/>
        <w:t>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lastRenderedPageBreak/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</w:t>
      </w:r>
      <w:r w:rsidR="001D48B7">
        <w:rPr>
          <w:rFonts w:eastAsia="Times New Roman"/>
        </w:rPr>
        <w:lastRenderedPageBreak/>
        <w:t xml:space="preserve">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</w:t>
      </w:r>
      <w:r>
        <w:rPr>
          <w:lang w:eastAsia="ru-RU"/>
        </w:rPr>
        <w:lastRenderedPageBreak/>
        <w:t xml:space="preserve">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lastRenderedPageBreak/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lastRenderedPageBreak/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  <w:bookmarkStart w:id="0" w:name="_GoBack"/>
      <w:bookmarkEnd w:id="0"/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6A4" w:rsidRDefault="004B66A4" w:rsidP="004C350C">
      <w:pPr>
        <w:spacing w:after="0" w:line="240" w:lineRule="auto"/>
      </w:pPr>
      <w:r>
        <w:separator/>
      </w:r>
    </w:p>
  </w:endnote>
  <w:endnote w:type="continuationSeparator" w:id="0">
    <w:p w:rsidR="004B66A4" w:rsidRDefault="004B66A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6A4" w:rsidRDefault="004B66A4" w:rsidP="004C350C">
      <w:pPr>
        <w:spacing w:after="0" w:line="240" w:lineRule="auto"/>
      </w:pPr>
      <w:r>
        <w:separator/>
      </w:r>
    </w:p>
  </w:footnote>
  <w:footnote w:type="continuationSeparator" w:id="0">
    <w:p w:rsidR="004B66A4" w:rsidRDefault="004B66A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B62217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47266F">
          <w:rPr>
            <w:noProof/>
          </w:rPr>
          <w:t>10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7266F"/>
    <w:rsid w:val="00473E47"/>
    <w:rsid w:val="00483DBD"/>
    <w:rsid w:val="004A2A5C"/>
    <w:rsid w:val="004B66A4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62217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170E7-83E0-4749-8496-02E84F311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3611</Words>
  <Characters>20589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alex</cp:lastModifiedBy>
  <cp:revision>2</cp:revision>
  <cp:lastPrinted>2016-01-29T08:31:00Z</cp:lastPrinted>
  <dcterms:created xsi:type="dcterms:W3CDTF">2016-04-18T10:14:00Z</dcterms:created>
  <dcterms:modified xsi:type="dcterms:W3CDTF">2016-04-18T10:14:00Z</dcterms:modified>
</cp:coreProperties>
</file>