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0" w:right="0" w:hanging="0"/>
        <w:spacing w:after="240" w:before="240"/>
        <w:rPr>
          <w:rFonts w:ascii="Times New Roman" w:hAnsi="Times New Roman" w:cs="Times New Roman" w:eastAsia="Times New Roman"/>
          <w:sz w:val="4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44"/>
        </w:rPr>
      </w:r>
      <w:r>
        <w:rPr>
          <w:sz w:val="44"/>
        </w:rPr>
        <w:t xml:space="preserve">Досудебное (внесудебное) обжалование действий  (бездействия) и (или) решений, принятых (осуществленных) в ходе  предоставления государственной услуги</w:t>
      </w:r>
      <w:r>
        <w:rPr>
          <w:sz w:val="44"/>
        </w:rPr>
      </w:r>
    </w:p>
    <w:p>
      <w:pPr>
        <w:ind w:left="120" w:right="120" w:hanging="0"/>
        <w:spacing w:after="12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      </w:t>
      </w:r>
      <w:r/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Заинтересованные  лица имеют право на обжалование решений и действий (бездействия)  территориального органа, его должностных лиц либо государственных  служащих в ходе предоставления государственной услуги при предоставлении  государственной услуги.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Жалобы на решения, принятые руководителями территориальных органов, подаются в вышестоящий орган.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Информацию о порядке подачи и рассмотрения жалобы заявители могут  получить на официальном сайте территориального органа в сети Интернет и  на Едином портале, а также она может быть сообщена заявителю в устной и  (или) письменной форме, с использованием средств телефонной связи, по  электронной почте, при личном приеме.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Порядок досудебного (внесудебного) обжалования решений и действий  (бездействия) регистрирующего органа, его территориальных органов, а  также должностных лиц регистрирующего органа и территориальных органов  регулируются следующими нормативными правовыми актами: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а) Федеральный закон Российской Федерации от 27.07.2010 № 210-ФЗ «Об  организации предоставления государственных и муниципальных услуг»;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б) постановление Правительства Российской Федерации от 16.08.2012 №  840 «О порядке подачи и рассмотрения жалоб на решения и действия  (бездействие) федеральных органов исполнительной власти и их должностных  лиц, федеральных государственных служащих, должностных лиц  государственных внебюджетных фондов Российской Федерации, а также  государственных корпораций, наделенных в соответствии с федеральными  законами полномочиями по предоставлению государственных услуг в  установленной сфере деятельности, и их должностных лиц, организаций,  предусмотренных частью 1.1 статьи 16 Федерального закона «Об организации  предоставления государственных и муниципальных услуг", и их работников,  а также многофункциональных центров предоставления государственных и  муниципальных услуг и их работников»;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в) постановление Правительства Российской Федерации от 20.11.2012 №  1198 «О федеральной государственной информационной системе,  обеспечивающей процесс досудебного (внесудебного) обжалования решений и  действий (бездействия), совершенных при предоставлении государственных и  муниципальных услуг».</w:t>
      </w:r>
      <w:r>
        <w:rPr>
          <w:sz w:val="28"/>
        </w:rPr>
      </w:r>
    </w:p>
    <w:p>
      <w:pPr>
        <w:ind w:left="0" w:right="0" w:hanging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Информация о досудебном (внесудебном) порядке обжалования решений и  действий (бездействия) органов, предоставляющих государственные услуги, а  также их должностных лиц, размещается на Едином портале.</w:t>
      </w:r>
      <w:r>
        <w:rPr>
          <w:sz w:val="28"/>
        </w:rPr>
      </w:r>
    </w:p>
    <w:p>
      <w:pPr>
        <w:rPr>
          <w:sz w:val="28"/>
        </w:rPr>
      </w:pPr>
      <w:r/>
    </w:p>
    <w:sectPr>
      <w:footnotePr/>
      <w:type w:val="nextPage"/>
      <w:pgSz w:w="11906" w:h="16838"/>
      <w:pgMar w:top="425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